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65E1D52A" w:rsidR="008D0314" w:rsidRPr="00D6643C" w:rsidRDefault="009751DB" w:rsidP="00487953">
            <w:pPr>
              <w:jc w:val="center"/>
              <w:rPr>
                <w:b/>
                <w:color w:val="FFFFFF" w:themeColor="background1"/>
                <w:sz w:val="64"/>
                <w:szCs w:val="64"/>
              </w:rPr>
            </w:pPr>
            <w:r>
              <w:rPr>
                <w:b/>
                <w:color w:val="FFFFFF" w:themeColor="background1"/>
                <w:sz w:val="64"/>
                <w:szCs w:val="64"/>
              </w:rPr>
              <w:t>SINGAPUR</w:t>
            </w:r>
          </w:p>
        </w:tc>
      </w:tr>
    </w:tbl>
    <w:p w14:paraId="7FA0A5C6" w14:textId="59CBD154" w:rsidR="00C14C10" w:rsidRPr="007A3C36" w:rsidRDefault="00C14C10" w:rsidP="00C14C10">
      <w:pPr>
        <w:pStyle w:val="dias"/>
        <w:jc w:val="center"/>
        <w:rPr>
          <w:caps w:val="0"/>
          <w:color w:val="1F3864"/>
          <w:sz w:val="40"/>
          <w:szCs w:val="40"/>
          <w:lang w:val="en-US"/>
        </w:rPr>
      </w:pPr>
      <w:r w:rsidRPr="007A3C36">
        <w:rPr>
          <w:caps w:val="0"/>
          <w:color w:val="1F3864"/>
          <w:sz w:val="40"/>
          <w:szCs w:val="40"/>
          <w:lang w:val="en-US"/>
        </w:rPr>
        <w:t xml:space="preserve">Visitando: </w:t>
      </w:r>
      <w:r w:rsidR="009751DB">
        <w:rPr>
          <w:caps w:val="0"/>
          <w:color w:val="1F3864"/>
          <w:sz w:val="40"/>
          <w:szCs w:val="40"/>
          <w:lang w:val="en-US"/>
        </w:rPr>
        <w:t>Singapur</w:t>
      </w:r>
    </w:p>
    <w:p w14:paraId="5104A8BF" w14:textId="21E99874" w:rsidR="00C14C10" w:rsidRPr="00DA0A99" w:rsidRDefault="00607FD4" w:rsidP="00C14C10">
      <w:pPr>
        <w:pStyle w:val="subtituloprograma"/>
        <w:rPr>
          <w:color w:val="1F3864"/>
        </w:rPr>
      </w:pPr>
      <w:r>
        <w:rPr>
          <w:color w:val="1F3864"/>
        </w:rPr>
        <w:t>3</w:t>
      </w:r>
      <w:r w:rsidR="006E0961">
        <w:rPr>
          <w:color w:val="1F3864"/>
        </w:rPr>
        <w:t xml:space="preserve"> </w:t>
      </w:r>
      <w:r w:rsidR="00C14C10" w:rsidRPr="00DA0A99">
        <w:rPr>
          <w:color w:val="1F3864"/>
        </w:rPr>
        <w:t xml:space="preserve">días </w:t>
      </w:r>
      <w:r>
        <w:rPr>
          <w:color w:val="1F3864"/>
        </w:rPr>
        <w:t>2</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4395BC5" w:rsidR="006C3BEF" w:rsidRPr="00F0432F" w:rsidRDefault="006C3BEF" w:rsidP="006C3BEF">
      <w:pPr>
        <w:pStyle w:val="itinerario"/>
      </w:pPr>
      <w:r w:rsidRPr="005B0D12">
        <w:rPr>
          <w:noProof/>
          <w:color w:val="000000"/>
          <w:lang w:eastAsia="es-CO" w:bidi="ar-SA"/>
        </w:rPr>
        <w:drawing>
          <wp:inline distT="0" distB="0" distL="0" distR="0" wp14:anchorId="59DE0C23" wp14:editId="74FFCB12">
            <wp:extent cx="6388100" cy="2714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388661" cy="2714863"/>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29D641F" w:rsidR="00B66897" w:rsidRDefault="009751DB" w:rsidP="009751DB">
      <w:pPr>
        <w:pStyle w:val="itinerario"/>
      </w:pPr>
      <w:r>
        <w:t>Singapur, si bien es de tamaño relativamente pequeño, ofrece una cantidad sin precedentes de atracciones y experiencias excepcionales. Fundada por Sir Stamford Raffles hace casi 200 años, ha experimentado una inmensa transformación hasta convertirse en uno de los países más pioneros y admirados del mundo. Hace apenas 50 años, la ciudad era principalmente un puerto comercial; hoy en día, ademas de ser un importante centro de transporte marítimo, ofrece una muestra del lujo asiático. Áreas como Marina Bay Sands han revolucionado la experiencia del viajero en Asia, las pulidas torres del Marina Bay Sands Hotel dominan el encanto colonial de Raffles y se encuentran junto a los fascinantes Gardens by the Bay</w:t>
      </w:r>
      <w:r w:rsidR="00607FD4">
        <w:t>, h</w:t>
      </w:r>
      <w:r>
        <w:t xml:space="preserve">ogar de </w:t>
      </w:r>
      <w:r w:rsidR="00607FD4">
        <w:t>un</w:t>
      </w:r>
      <w:r>
        <w:t xml:space="preserve"> grupo de "super árboles" que se elevan a más de 100 metros de altura. Al otro lado de la ciudad, Orchard Road lidera las tiendas de lujo, mientras que las zonas de moda, como Clarke Quays, ofrecen el lugar perfecto para relajarse con un cóctel mientras se pone el sol.</w:t>
      </w:r>
    </w:p>
    <w:p w14:paraId="3E2C996C" w14:textId="0B6E4405"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46188B">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6AC8D293"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w:t>
      </w:r>
      <w:r w:rsidR="00467C8A">
        <w:t xml:space="preserve"> </w:t>
      </w:r>
      <w:r w:rsidRPr="00DD5FC4">
        <w:t>– hotel</w:t>
      </w:r>
      <w:r w:rsidR="00AB5721" w:rsidRPr="00DD5FC4">
        <w:t xml:space="preserve"> – aeropuerto</w:t>
      </w:r>
      <w:r w:rsidR="00B20E65">
        <w:t xml:space="preserve">, en servicio </w:t>
      </w:r>
      <w:r w:rsidR="0046188B">
        <w:t>privado</w:t>
      </w:r>
      <w:r w:rsidR="00467C8A">
        <w:t>, con solo conductor, sin guía.</w:t>
      </w:r>
      <w:r w:rsidRPr="00DD5FC4">
        <w:tab/>
      </w:r>
    </w:p>
    <w:bookmarkEnd w:id="1"/>
    <w:p w14:paraId="2713EF5F" w14:textId="6EBE764C" w:rsidR="00190C94" w:rsidRPr="00675C90" w:rsidRDefault="00607FD4" w:rsidP="00DD5FC4">
      <w:pPr>
        <w:pStyle w:val="vinetas"/>
        <w:jc w:val="both"/>
      </w:pPr>
      <w:r>
        <w:t>2</w:t>
      </w:r>
      <w:r w:rsidR="00190C94" w:rsidRPr="00675C90">
        <w:t xml:space="preserve"> noche</w:t>
      </w:r>
      <w:r w:rsidR="00FC1CAB">
        <w:t>s</w:t>
      </w:r>
      <w:r w:rsidR="00190C94" w:rsidRPr="00675C90">
        <w:t xml:space="preserve"> de alojamiento</w:t>
      </w:r>
      <w:r w:rsidR="00B20E65">
        <w:t>.</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05677955" w14:textId="3CE8C4DC" w:rsidR="00B64B3D" w:rsidRDefault="00B64B3D" w:rsidP="00B64B3D">
      <w:pPr>
        <w:pStyle w:val="vinetas"/>
      </w:pPr>
      <w:r>
        <w:t>Visita</w:t>
      </w:r>
      <w:r w:rsidR="0046188B">
        <w:t xml:space="preserve"> de medio día de la ciudad con</w:t>
      </w:r>
      <w:r>
        <w:t xml:space="preserve"> guía local de habla hispana.</w:t>
      </w:r>
    </w:p>
    <w:p w14:paraId="38F360BC" w14:textId="77777777" w:rsidR="0046188B" w:rsidRPr="0046188B" w:rsidRDefault="0046188B" w:rsidP="0046188B">
      <w:pPr>
        <w:pStyle w:val="vinetas"/>
      </w:pPr>
      <w:r w:rsidRPr="0046188B">
        <w:t>Boletos de entrada al National Orchid Garden.</w:t>
      </w:r>
    </w:p>
    <w:p w14:paraId="6575002F" w14:textId="0D8EEF29" w:rsidR="00DD5FC4" w:rsidRPr="00DD5FC4" w:rsidRDefault="00DD5FC4" w:rsidP="00675C90">
      <w:pPr>
        <w:pStyle w:val="vinetas"/>
        <w:numPr>
          <w:ilvl w:val="0"/>
          <w:numId w:val="0"/>
        </w:numPr>
        <w:ind w:left="720"/>
        <w:jc w:val="both"/>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6133BD9C"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1D0FEF28" w:rsidR="008D0314" w:rsidRDefault="008D0314" w:rsidP="008D0314">
      <w:pPr>
        <w:pStyle w:val="vinetas"/>
        <w:spacing w:line="240" w:lineRule="auto"/>
      </w:pPr>
      <w:r w:rsidRPr="004454E4">
        <w:t>Gastos médicos.</w:t>
      </w:r>
    </w:p>
    <w:p w14:paraId="228F0AAB" w14:textId="72AC9ECF" w:rsidR="008D0314" w:rsidRDefault="008D0314" w:rsidP="008D0314">
      <w:pPr>
        <w:pStyle w:val="vinetas"/>
        <w:spacing w:line="240" w:lineRule="auto"/>
      </w:pPr>
      <w:r w:rsidRPr="004454E4">
        <w:t>Tarjeta de asistencia médica.</w:t>
      </w:r>
    </w:p>
    <w:p w14:paraId="63556987" w14:textId="5EBE4379" w:rsidR="00B64B3D" w:rsidRDefault="00B64B3D" w:rsidP="00B64B3D">
      <w:pPr>
        <w:pStyle w:val="itinerario"/>
      </w:pPr>
    </w:p>
    <w:p w14:paraId="442F5438" w14:textId="61E5DF0E" w:rsidR="00B64B3D" w:rsidRDefault="00B64B3D" w:rsidP="00B64B3D">
      <w:pPr>
        <w:pStyle w:val="itinerario"/>
      </w:pPr>
    </w:p>
    <w:p w14:paraId="59BE825E" w14:textId="77777777" w:rsidR="00681FBE" w:rsidRDefault="00681FBE"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027D04CB" w14:textId="160B384B" w:rsidR="004A758F" w:rsidRDefault="00607FD4" w:rsidP="004A758F">
      <w:pPr>
        <w:pStyle w:val="dias"/>
      </w:pPr>
      <w:r>
        <w:rPr>
          <w:caps w:val="0"/>
          <w:color w:val="1F3864"/>
          <w:sz w:val="28"/>
          <w:szCs w:val="28"/>
        </w:rPr>
        <w:t>DÍA 1</w:t>
      </w:r>
      <w:r>
        <w:rPr>
          <w:caps w:val="0"/>
          <w:color w:val="1F3864"/>
          <w:sz w:val="28"/>
          <w:szCs w:val="28"/>
        </w:rPr>
        <w:tab/>
      </w:r>
      <w:r>
        <w:rPr>
          <w:caps w:val="0"/>
          <w:color w:val="1F3864"/>
          <w:sz w:val="28"/>
          <w:szCs w:val="28"/>
        </w:rPr>
        <w:tab/>
      </w:r>
      <w:r w:rsidRPr="00A81D29">
        <w:rPr>
          <w:caps w:val="0"/>
          <w:color w:val="1F3864"/>
          <w:sz w:val="28"/>
          <w:szCs w:val="28"/>
        </w:rPr>
        <w:t>SINGAPUR</w:t>
      </w:r>
      <w:r w:rsidRPr="00A81D29">
        <w:rPr>
          <w:caps w:val="0"/>
          <w:color w:val="1F3864"/>
          <w:sz w:val="28"/>
          <w:szCs w:val="28"/>
        </w:rPr>
        <w:tab/>
      </w:r>
      <w:r w:rsidR="00681FBE">
        <w:rPr>
          <w:caps w:val="0"/>
          <w:color w:val="1F3864"/>
          <w:sz w:val="28"/>
          <w:szCs w:val="28"/>
        </w:rPr>
        <w:tab/>
      </w:r>
    </w:p>
    <w:p w14:paraId="2D727FB4" w14:textId="3DD908DE" w:rsidR="0046188B" w:rsidRDefault="00D55892" w:rsidP="0046188B">
      <w:pPr>
        <w:pStyle w:val="itinerario"/>
      </w:pPr>
      <w:r w:rsidRPr="00D55892">
        <w:t xml:space="preserve">Llegada al aeropuerto de Singapur, encuentro con el </w:t>
      </w:r>
      <w:r>
        <w:t>conductor</w:t>
      </w:r>
      <w:r w:rsidRPr="00D55892">
        <w:t xml:space="preserve"> y traslado al hotel </w:t>
      </w:r>
      <w:r w:rsidRPr="00280294">
        <w:t>(sin guía).</w:t>
      </w:r>
      <w:r>
        <w:t xml:space="preserve"> </w:t>
      </w:r>
      <w:r w:rsidR="0046188B">
        <w:t>Alojamiento.</w:t>
      </w:r>
    </w:p>
    <w:p w14:paraId="551B7A0F" w14:textId="77777777" w:rsidR="0046188B" w:rsidRDefault="0046188B" w:rsidP="009F02FB">
      <w:pPr>
        <w:pStyle w:val="itinerario"/>
        <w:rPr>
          <w:b/>
          <w:bCs/>
          <w:color w:val="1F3864"/>
        </w:rPr>
      </w:pPr>
    </w:p>
    <w:p w14:paraId="695188CB" w14:textId="1C99D8B6" w:rsidR="009F02FB" w:rsidRDefault="009F02FB" w:rsidP="009F02FB">
      <w:pPr>
        <w:pStyle w:val="itinerario"/>
      </w:pPr>
      <w:r w:rsidRPr="00976A99">
        <w:rPr>
          <w:b/>
          <w:bCs/>
          <w:color w:val="1F3864"/>
        </w:rPr>
        <w:t xml:space="preserve">Nota: </w:t>
      </w:r>
      <w:r w:rsidRPr="00AA7E41">
        <w:t>Hora de entrada al hotel: 14:00 horas</w:t>
      </w:r>
    </w:p>
    <w:p w14:paraId="3702408A" w14:textId="5BC6FC27" w:rsidR="004A758F" w:rsidRPr="00467C8A" w:rsidRDefault="00607FD4" w:rsidP="004A758F">
      <w:pPr>
        <w:pStyle w:val="dias"/>
        <w:rPr>
          <w:color w:val="1F3864"/>
          <w:sz w:val="28"/>
          <w:szCs w:val="28"/>
        </w:rPr>
      </w:pPr>
      <w:r w:rsidRPr="00467C8A">
        <w:rPr>
          <w:caps w:val="0"/>
          <w:color w:val="1F3864"/>
          <w:sz w:val="28"/>
          <w:szCs w:val="28"/>
        </w:rPr>
        <w:t>DÍA 2</w:t>
      </w:r>
      <w:r w:rsidRPr="00467C8A">
        <w:rPr>
          <w:caps w:val="0"/>
          <w:color w:val="1F3864"/>
          <w:sz w:val="28"/>
          <w:szCs w:val="28"/>
        </w:rPr>
        <w:tab/>
      </w:r>
      <w:r w:rsidRPr="00467C8A">
        <w:rPr>
          <w:caps w:val="0"/>
          <w:color w:val="1F3864"/>
          <w:sz w:val="28"/>
          <w:szCs w:val="28"/>
        </w:rPr>
        <w:tab/>
        <w:t>SINGAPUR</w:t>
      </w:r>
    </w:p>
    <w:p w14:paraId="6F4EABC4" w14:textId="748455D9" w:rsidR="0046188B" w:rsidRDefault="004A758F" w:rsidP="0046188B">
      <w:pPr>
        <w:pStyle w:val="itinerario"/>
      </w:pPr>
      <w:r>
        <w:t xml:space="preserve">Desayuno en el hotel. </w:t>
      </w:r>
      <w:r w:rsidR="0046188B">
        <w:t>Descubra la historia, la cultura y el estilo de vida de Singapur (4,5 horas). Pasee por el río Singapur y explore el distrito colonial británico y el parque Merlion, la desembocadura del río Singapur. Visite Chinatown, donde podrá ver el magnífico Templo Sri Mariamman y el Templo de la Reliquia del Diente de Buda. Visite el cercano templo Thian Hock Keng, el templo más antiguo e importante del pueblo Hokkien en el país. Finalmente, visite el Jardín Botánico de Singapur, el "pulmón verde" del centro de la ciudad. Después de esto, regreso al hotel. Alojamiento en el hotel</w:t>
      </w:r>
      <w:r w:rsidR="00A81D29">
        <w:t>.</w:t>
      </w:r>
    </w:p>
    <w:p w14:paraId="13DE618B" w14:textId="5550C0C6" w:rsidR="00A81D29" w:rsidRDefault="00A81D29" w:rsidP="0046188B">
      <w:pPr>
        <w:pStyle w:val="itinerario"/>
      </w:pPr>
    </w:p>
    <w:p w14:paraId="16005D60" w14:textId="6D0C5CF2" w:rsidR="00A81D29" w:rsidRDefault="00A81D29" w:rsidP="00A81D29">
      <w:pPr>
        <w:pStyle w:val="itinerario"/>
      </w:pPr>
      <w:r>
        <w:t xml:space="preserve">El </w:t>
      </w:r>
      <w:r w:rsidR="00FC2322">
        <w:t>l</w:t>
      </w:r>
      <w:r>
        <w:t xml:space="preserve">as horas de la noche podrá realizar </w:t>
      </w:r>
      <w:r w:rsidRPr="00A81D29">
        <w:rPr>
          <w:b/>
          <w:bCs/>
          <w:color w:val="1F3864"/>
        </w:rPr>
        <w:t>OPCIONALMENTE</w:t>
      </w:r>
      <w:r w:rsidRPr="00A81D29">
        <w:rPr>
          <w:color w:val="1F3864"/>
        </w:rPr>
        <w:t xml:space="preserve"> </w:t>
      </w:r>
      <w:r>
        <w:rPr>
          <w:color w:val="1F3864"/>
        </w:rPr>
        <w:t xml:space="preserve">un paseo en barco por el río Singapur, el </w:t>
      </w:r>
      <w:r>
        <w:t xml:space="preserve">Singapore River Bumboat Ride: Nos dirigiremos a Clarke Quay y subiremos a un bumbo en un crucero por el río Singapur para ver Singapur iluminado por la noche, mostrando casas comerciales bellamente restauradas, modernos rascacielos del distrito financiero, edificios coloniales y la icónica estatua de Merlion y la exhibición de luces y agua de Marina Bay Sands. </w:t>
      </w:r>
      <w:r w:rsidR="00FC2322">
        <w:t>Alojamiento en el hotel.</w:t>
      </w:r>
    </w:p>
    <w:p w14:paraId="527F00EA" w14:textId="6E521576" w:rsidR="00FC2322" w:rsidRPr="00FC2322" w:rsidRDefault="00607FD4" w:rsidP="00FC2322">
      <w:pPr>
        <w:pStyle w:val="dias"/>
        <w:rPr>
          <w:color w:val="1F3864"/>
          <w:sz w:val="28"/>
          <w:szCs w:val="28"/>
        </w:rPr>
      </w:pPr>
      <w:r w:rsidRPr="00467C8A">
        <w:rPr>
          <w:caps w:val="0"/>
          <w:color w:val="1F3864"/>
          <w:sz w:val="28"/>
          <w:szCs w:val="28"/>
        </w:rPr>
        <w:t>DÍA 3</w:t>
      </w:r>
      <w:r w:rsidRPr="00467C8A">
        <w:rPr>
          <w:caps w:val="0"/>
          <w:color w:val="1F3864"/>
          <w:sz w:val="28"/>
          <w:szCs w:val="28"/>
        </w:rPr>
        <w:tab/>
      </w:r>
      <w:r w:rsidRPr="00467C8A">
        <w:rPr>
          <w:caps w:val="0"/>
          <w:color w:val="1F3864"/>
          <w:sz w:val="28"/>
          <w:szCs w:val="28"/>
        </w:rPr>
        <w:tab/>
      </w:r>
      <w:r w:rsidRPr="00FC2322">
        <w:rPr>
          <w:caps w:val="0"/>
          <w:color w:val="1F3864"/>
          <w:sz w:val="28"/>
          <w:szCs w:val="28"/>
        </w:rPr>
        <w:t>SINGAPUR</w:t>
      </w:r>
    </w:p>
    <w:p w14:paraId="7F0C4A67" w14:textId="53D79612" w:rsidR="00F67952" w:rsidRDefault="00607FD4" w:rsidP="00F67952">
      <w:pPr>
        <w:pStyle w:val="itinerario"/>
      </w:pPr>
      <w:r>
        <w:t xml:space="preserve">Desayuno en el hotel. </w:t>
      </w:r>
      <w:r w:rsidR="003258F7">
        <w:t>A la hora convenida. t</w:t>
      </w:r>
      <w:r w:rsidR="004A758F">
        <w:t xml:space="preserve">raslado al </w:t>
      </w:r>
      <w:r w:rsidR="003258F7">
        <w:t>Aeropuerto Internacional</w:t>
      </w:r>
      <w:r w:rsidR="00D90CF4">
        <w:t xml:space="preserve"> (sin guía)</w:t>
      </w:r>
      <w:r w:rsidR="003258F7">
        <w:t xml:space="preserve"> </w:t>
      </w:r>
      <w:r w:rsidR="000C60D9">
        <w:t>para tomar el vuelo de salida.</w:t>
      </w:r>
    </w:p>
    <w:p w14:paraId="54F5A8B6" w14:textId="77777777" w:rsidR="004A758F" w:rsidRDefault="004A758F" w:rsidP="00F67952">
      <w:pPr>
        <w:pStyle w:val="itinerario"/>
      </w:pPr>
    </w:p>
    <w:p w14:paraId="509AE461" w14:textId="1B55676D" w:rsidR="009F02FB" w:rsidRDefault="009F02FB" w:rsidP="009F02FB">
      <w:pPr>
        <w:pStyle w:val="itinerario"/>
      </w:pPr>
      <w:bookmarkStart w:id="2" w:name="_Hlk164682456"/>
      <w:r w:rsidRPr="004A758F">
        <w:rPr>
          <w:b/>
          <w:bCs/>
          <w:color w:val="1F3864"/>
        </w:rPr>
        <w:t>Nota</w:t>
      </w:r>
      <w:r>
        <w:rPr>
          <w:b/>
          <w:bCs/>
          <w:color w:val="1F3864"/>
        </w:rPr>
        <w:t>s</w:t>
      </w:r>
      <w:r>
        <w:t>: Registro de salida del hotel deberá ser antes de las 11:00 am.</w:t>
      </w:r>
    </w:p>
    <w:bookmarkEnd w:id="2"/>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21199372" w14:textId="51155338"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7F450340" w:rsidR="00E8569C" w:rsidRDefault="00E8569C" w:rsidP="00E8569C">
      <w:pPr>
        <w:pStyle w:val="itinerario"/>
        <w:rPr>
          <w:bCs/>
        </w:rPr>
      </w:pPr>
      <w:r w:rsidRPr="003F40D8">
        <w:rPr>
          <w:bCs/>
        </w:rPr>
        <w:t xml:space="preserve">Vigencia: </w:t>
      </w:r>
      <w:r w:rsidR="00607FD4">
        <w:rPr>
          <w:bCs/>
        </w:rPr>
        <w:t>marzo 31, 2025</w:t>
      </w:r>
      <w:r>
        <w:rPr>
          <w:bCs/>
        </w:rPr>
        <w:t xml:space="preserve">.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E8569C" w:rsidRPr="00D45F5D" w14:paraId="13530B47" w14:textId="77777777" w:rsidTr="00607FD4">
        <w:tc>
          <w:tcPr>
            <w:tcW w:w="2040" w:type="dxa"/>
            <w:tcBorders>
              <w:bottom w:val="single" w:sz="4" w:space="0" w:color="auto"/>
            </w:tcBorders>
            <w:shd w:val="clear" w:color="auto" w:fill="1F3864"/>
            <w:vAlign w:val="center"/>
          </w:tcPr>
          <w:p w14:paraId="55531EDA" w14:textId="5FB49DC3" w:rsidR="00E8569C" w:rsidRPr="00D45F5D" w:rsidRDefault="005811EC" w:rsidP="00607FD4">
            <w:pPr>
              <w:jc w:val="center"/>
              <w:rPr>
                <w:b/>
                <w:color w:val="FFFFFF" w:themeColor="background1"/>
                <w:sz w:val="28"/>
                <w:szCs w:val="28"/>
              </w:rPr>
            </w:pPr>
            <w:r>
              <w:rPr>
                <w:b/>
                <w:color w:val="FFFFFF" w:themeColor="background1"/>
                <w:sz w:val="28"/>
                <w:szCs w:val="28"/>
              </w:rPr>
              <w:t>Categoría</w:t>
            </w:r>
          </w:p>
        </w:tc>
        <w:tc>
          <w:tcPr>
            <w:tcW w:w="2040" w:type="dxa"/>
            <w:tcBorders>
              <w:bottom w:val="single" w:sz="4" w:space="0" w:color="auto"/>
            </w:tcBorders>
            <w:shd w:val="clear" w:color="auto" w:fill="1F3864"/>
            <w:vAlign w:val="center"/>
          </w:tcPr>
          <w:p w14:paraId="70D369AF" w14:textId="77777777" w:rsidR="00E8569C" w:rsidRPr="00D45F5D" w:rsidRDefault="00E8569C" w:rsidP="00607FD4">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798A4C44" w14:textId="77777777" w:rsidR="00E8569C" w:rsidRPr="00D45F5D" w:rsidRDefault="00E8569C" w:rsidP="00607FD4">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499CC9E8" w14:textId="77777777" w:rsidR="00E8569C" w:rsidRPr="00D45F5D" w:rsidRDefault="00E8569C" w:rsidP="00607FD4">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1EFAB734" w14:textId="77777777" w:rsidR="00E8569C" w:rsidRPr="00D45F5D" w:rsidRDefault="00E8569C" w:rsidP="00607FD4">
            <w:pPr>
              <w:jc w:val="center"/>
              <w:rPr>
                <w:b/>
                <w:color w:val="FFFFFF" w:themeColor="background1"/>
                <w:sz w:val="28"/>
                <w:szCs w:val="28"/>
              </w:rPr>
            </w:pPr>
            <w:r>
              <w:rPr>
                <w:b/>
                <w:color w:val="FFFFFF" w:themeColor="background1"/>
                <w:sz w:val="28"/>
                <w:szCs w:val="28"/>
              </w:rPr>
              <w:t>Niños</w:t>
            </w:r>
          </w:p>
        </w:tc>
      </w:tr>
      <w:tr w:rsidR="00467C8A" w:rsidRPr="00D45F5D" w14:paraId="57BF2757" w14:textId="77777777" w:rsidTr="0019307E">
        <w:tc>
          <w:tcPr>
            <w:tcW w:w="2040" w:type="dxa"/>
            <w:tcBorders>
              <w:bottom w:val="single" w:sz="4" w:space="0" w:color="auto"/>
            </w:tcBorders>
            <w:shd w:val="clear" w:color="auto" w:fill="auto"/>
            <w:vAlign w:val="center"/>
          </w:tcPr>
          <w:p w14:paraId="73E45DE9" w14:textId="7C826F55" w:rsidR="00467C8A" w:rsidRPr="00D45F5D" w:rsidRDefault="00467C8A" w:rsidP="00467C8A">
            <w:pPr>
              <w:jc w:val="center"/>
              <w:rPr>
                <w:rFonts w:cs="Calibri"/>
                <w:bCs/>
                <w:szCs w:val="22"/>
              </w:rPr>
            </w:pPr>
            <w:r>
              <w:rPr>
                <w:rFonts w:cs="Calibri"/>
                <w:bCs/>
                <w:szCs w:val="22"/>
              </w:rPr>
              <w:t>Opción 1</w:t>
            </w:r>
          </w:p>
        </w:tc>
        <w:tc>
          <w:tcPr>
            <w:tcW w:w="2040" w:type="dxa"/>
            <w:tcBorders>
              <w:bottom w:val="single" w:sz="4" w:space="0" w:color="auto"/>
            </w:tcBorders>
            <w:shd w:val="clear" w:color="auto" w:fill="auto"/>
          </w:tcPr>
          <w:p w14:paraId="1AF3998D" w14:textId="49F282E9" w:rsidR="00467C8A" w:rsidRPr="00D45F5D" w:rsidRDefault="00467C8A" w:rsidP="00467C8A">
            <w:pPr>
              <w:jc w:val="center"/>
              <w:rPr>
                <w:rFonts w:cs="Calibri"/>
                <w:szCs w:val="22"/>
              </w:rPr>
            </w:pPr>
            <w:r w:rsidRPr="009D4DA9">
              <w:t xml:space="preserve"> 1.065   </w:t>
            </w:r>
          </w:p>
        </w:tc>
        <w:tc>
          <w:tcPr>
            <w:tcW w:w="2040" w:type="dxa"/>
            <w:tcBorders>
              <w:bottom w:val="single" w:sz="4" w:space="0" w:color="auto"/>
            </w:tcBorders>
            <w:shd w:val="clear" w:color="auto" w:fill="auto"/>
          </w:tcPr>
          <w:p w14:paraId="0E566AE7" w14:textId="2C3E1256" w:rsidR="00467C8A" w:rsidRPr="00D45F5D" w:rsidRDefault="00467C8A" w:rsidP="00467C8A">
            <w:pPr>
              <w:jc w:val="center"/>
            </w:pPr>
            <w:r w:rsidRPr="009D4DA9">
              <w:t xml:space="preserve"> 1.065   </w:t>
            </w:r>
          </w:p>
        </w:tc>
        <w:tc>
          <w:tcPr>
            <w:tcW w:w="2040" w:type="dxa"/>
            <w:tcBorders>
              <w:bottom w:val="single" w:sz="4" w:space="0" w:color="auto"/>
            </w:tcBorders>
            <w:shd w:val="clear" w:color="auto" w:fill="auto"/>
          </w:tcPr>
          <w:p w14:paraId="244FC7A2" w14:textId="43F0BD21" w:rsidR="00467C8A" w:rsidRPr="00D45F5D" w:rsidRDefault="00467C8A" w:rsidP="00467C8A">
            <w:pPr>
              <w:jc w:val="center"/>
            </w:pPr>
            <w:r w:rsidRPr="009D4DA9">
              <w:t xml:space="preserve"> 1.688   </w:t>
            </w:r>
          </w:p>
        </w:tc>
        <w:tc>
          <w:tcPr>
            <w:tcW w:w="2041" w:type="dxa"/>
            <w:tcBorders>
              <w:bottom w:val="single" w:sz="4" w:space="0" w:color="auto"/>
            </w:tcBorders>
            <w:shd w:val="clear" w:color="auto" w:fill="auto"/>
          </w:tcPr>
          <w:p w14:paraId="23AA4FAB" w14:textId="298C8F1F" w:rsidR="00467C8A" w:rsidRPr="00D45F5D" w:rsidRDefault="00467C8A" w:rsidP="00467C8A">
            <w:pPr>
              <w:jc w:val="center"/>
              <w:rPr>
                <w:rFonts w:cs="Calibri"/>
                <w:szCs w:val="22"/>
              </w:rPr>
            </w:pPr>
            <w:r w:rsidRPr="009D4DA9">
              <w:t xml:space="preserve"> 799   </w:t>
            </w:r>
          </w:p>
        </w:tc>
      </w:tr>
      <w:tr w:rsidR="00467C8A" w:rsidRPr="00A81D29" w14:paraId="66C000AF" w14:textId="77777777" w:rsidTr="0019307E">
        <w:tc>
          <w:tcPr>
            <w:tcW w:w="2040" w:type="dxa"/>
            <w:shd w:val="pct20" w:color="auto" w:fill="auto"/>
            <w:vAlign w:val="center"/>
          </w:tcPr>
          <w:p w14:paraId="5B5514BD" w14:textId="7A7CF55A" w:rsidR="00467C8A" w:rsidRPr="00A81D29" w:rsidRDefault="00467C8A" w:rsidP="00467C8A">
            <w:pPr>
              <w:jc w:val="center"/>
              <w:rPr>
                <w:rFonts w:cs="Calibri"/>
                <w:bCs/>
                <w:szCs w:val="22"/>
                <w:lang w:val="en-US"/>
              </w:rPr>
            </w:pPr>
            <w:r w:rsidRPr="00B94745">
              <w:rPr>
                <w:rFonts w:cs="Calibri"/>
                <w:bCs/>
                <w:szCs w:val="22"/>
              </w:rPr>
              <w:t xml:space="preserve">Opción </w:t>
            </w:r>
            <w:r>
              <w:rPr>
                <w:rFonts w:cs="Calibri"/>
                <w:bCs/>
                <w:szCs w:val="22"/>
              </w:rPr>
              <w:t>2</w:t>
            </w:r>
          </w:p>
        </w:tc>
        <w:tc>
          <w:tcPr>
            <w:tcW w:w="2040" w:type="dxa"/>
            <w:shd w:val="pct20" w:color="auto" w:fill="auto"/>
          </w:tcPr>
          <w:p w14:paraId="6A097238" w14:textId="1EFBA3B5" w:rsidR="00467C8A" w:rsidRPr="00A81D29" w:rsidRDefault="00467C8A" w:rsidP="00467C8A">
            <w:pPr>
              <w:jc w:val="center"/>
              <w:rPr>
                <w:rFonts w:cs="Calibri"/>
                <w:szCs w:val="22"/>
                <w:lang w:val="en-US"/>
              </w:rPr>
            </w:pPr>
            <w:r w:rsidRPr="009D4DA9">
              <w:t xml:space="preserve"> 1.117   </w:t>
            </w:r>
          </w:p>
        </w:tc>
        <w:tc>
          <w:tcPr>
            <w:tcW w:w="2040" w:type="dxa"/>
            <w:shd w:val="pct20" w:color="auto" w:fill="auto"/>
          </w:tcPr>
          <w:p w14:paraId="076FCD33" w14:textId="1A92820E" w:rsidR="00467C8A" w:rsidRPr="00A81D29" w:rsidRDefault="00467C8A" w:rsidP="00467C8A">
            <w:pPr>
              <w:jc w:val="center"/>
              <w:rPr>
                <w:lang w:val="en-US"/>
              </w:rPr>
            </w:pPr>
            <w:r w:rsidRPr="009D4DA9">
              <w:t xml:space="preserve"> 1.117   </w:t>
            </w:r>
          </w:p>
        </w:tc>
        <w:tc>
          <w:tcPr>
            <w:tcW w:w="2040" w:type="dxa"/>
            <w:shd w:val="pct20" w:color="auto" w:fill="auto"/>
          </w:tcPr>
          <w:p w14:paraId="671FE4DB" w14:textId="297E74F3" w:rsidR="00467C8A" w:rsidRPr="00A81D29" w:rsidRDefault="00467C8A" w:rsidP="00467C8A">
            <w:pPr>
              <w:jc w:val="center"/>
              <w:rPr>
                <w:lang w:val="en-US"/>
              </w:rPr>
            </w:pPr>
            <w:r w:rsidRPr="009D4DA9">
              <w:t xml:space="preserve"> 1.792   </w:t>
            </w:r>
          </w:p>
        </w:tc>
        <w:tc>
          <w:tcPr>
            <w:tcW w:w="2041" w:type="dxa"/>
            <w:shd w:val="pct20" w:color="auto" w:fill="auto"/>
          </w:tcPr>
          <w:p w14:paraId="4D9BA2C3" w14:textId="436D1894" w:rsidR="00467C8A" w:rsidRPr="00A81D29" w:rsidRDefault="00467C8A" w:rsidP="00467C8A">
            <w:pPr>
              <w:jc w:val="center"/>
              <w:rPr>
                <w:rFonts w:cs="Calibri"/>
                <w:szCs w:val="22"/>
                <w:lang w:val="en-US"/>
              </w:rPr>
            </w:pPr>
            <w:r w:rsidRPr="009D4DA9">
              <w:t xml:space="preserve"> 838   </w:t>
            </w:r>
          </w:p>
        </w:tc>
      </w:tr>
      <w:tr w:rsidR="00467C8A" w:rsidRPr="00D45F5D" w14:paraId="21EEAE39" w14:textId="77777777" w:rsidTr="0019307E">
        <w:tc>
          <w:tcPr>
            <w:tcW w:w="2040" w:type="dxa"/>
            <w:tcBorders>
              <w:bottom w:val="single" w:sz="4" w:space="0" w:color="auto"/>
            </w:tcBorders>
            <w:shd w:val="clear" w:color="auto" w:fill="auto"/>
            <w:vAlign w:val="center"/>
          </w:tcPr>
          <w:p w14:paraId="6EE71E5A" w14:textId="1B7E4382" w:rsidR="00467C8A" w:rsidRPr="00D45F5D" w:rsidRDefault="00467C8A" w:rsidP="00467C8A">
            <w:pPr>
              <w:jc w:val="center"/>
              <w:rPr>
                <w:rFonts w:cs="Calibri"/>
                <w:bCs/>
                <w:szCs w:val="22"/>
              </w:rPr>
            </w:pPr>
            <w:r w:rsidRPr="00B94745">
              <w:rPr>
                <w:rFonts w:cs="Calibri"/>
                <w:bCs/>
                <w:szCs w:val="22"/>
              </w:rPr>
              <w:t xml:space="preserve">Opción </w:t>
            </w:r>
            <w:r>
              <w:rPr>
                <w:rFonts w:cs="Calibri"/>
                <w:bCs/>
                <w:szCs w:val="22"/>
              </w:rPr>
              <w:t>3</w:t>
            </w:r>
          </w:p>
        </w:tc>
        <w:tc>
          <w:tcPr>
            <w:tcW w:w="2040" w:type="dxa"/>
            <w:tcBorders>
              <w:bottom w:val="single" w:sz="4" w:space="0" w:color="auto"/>
            </w:tcBorders>
            <w:shd w:val="clear" w:color="auto" w:fill="auto"/>
          </w:tcPr>
          <w:p w14:paraId="3384484D" w14:textId="0D307005" w:rsidR="00467C8A" w:rsidRPr="00D45F5D" w:rsidRDefault="00467C8A" w:rsidP="00467C8A">
            <w:pPr>
              <w:jc w:val="center"/>
              <w:rPr>
                <w:rFonts w:cs="Calibri"/>
                <w:szCs w:val="22"/>
              </w:rPr>
            </w:pPr>
            <w:r w:rsidRPr="009D4DA9">
              <w:t xml:space="preserve"> 1.130   </w:t>
            </w:r>
          </w:p>
        </w:tc>
        <w:tc>
          <w:tcPr>
            <w:tcW w:w="2040" w:type="dxa"/>
            <w:tcBorders>
              <w:bottom w:val="single" w:sz="4" w:space="0" w:color="auto"/>
            </w:tcBorders>
            <w:shd w:val="clear" w:color="auto" w:fill="auto"/>
          </w:tcPr>
          <w:p w14:paraId="74D67122" w14:textId="1AE49002" w:rsidR="00467C8A" w:rsidRPr="00D45F5D" w:rsidRDefault="00467C8A" w:rsidP="00467C8A">
            <w:pPr>
              <w:jc w:val="center"/>
            </w:pPr>
            <w:r w:rsidRPr="009D4DA9">
              <w:t xml:space="preserve"> 1.130   </w:t>
            </w:r>
          </w:p>
        </w:tc>
        <w:tc>
          <w:tcPr>
            <w:tcW w:w="2040" w:type="dxa"/>
            <w:tcBorders>
              <w:bottom w:val="single" w:sz="4" w:space="0" w:color="auto"/>
            </w:tcBorders>
            <w:shd w:val="clear" w:color="auto" w:fill="auto"/>
          </w:tcPr>
          <w:p w14:paraId="61BF2A46" w14:textId="2AAF1440" w:rsidR="00467C8A" w:rsidRPr="00D45F5D" w:rsidRDefault="00467C8A" w:rsidP="00467C8A">
            <w:pPr>
              <w:jc w:val="center"/>
            </w:pPr>
            <w:r w:rsidRPr="009D4DA9">
              <w:t xml:space="preserve"> 1.818   </w:t>
            </w:r>
          </w:p>
        </w:tc>
        <w:tc>
          <w:tcPr>
            <w:tcW w:w="2041" w:type="dxa"/>
            <w:tcBorders>
              <w:bottom w:val="single" w:sz="4" w:space="0" w:color="auto"/>
            </w:tcBorders>
            <w:shd w:val="clear" w:color="auto" w:fill="auto"/>
          </w:tcPr>
          <w:p w14:paraId="7DC5A242" w14:textId="770752BC" w:rsidR="00467C8A" w:rsidRPr="00D45F5D" w:rsidRDefault="00467C8A" w:rsidP="00467C8A">
            <w:pPr>
              <w:jc w:val="center"/>
              <w:rPr>
                <w:rFonts w:cs="Calibri"/>
                <w:szCs w:val="22"/>
              </w:rPr>
            </w:pPr>
            <w:r w:rsidRPr="009D4DA9">
              <w:t xml:space="preserve"> 847   </w:t>
            </w:r>
          </w:p>
        </w:tc>
      </w:tr>
      <w:tr w:rsidR="00467C8A" w:rsidRPr="00A81D29" w14:paraId="3702AEAE" w14:textId="77777777" w:rsidTr="0019307E">
        <w:tc>
          <w:tcPr>
            <w:tcW w:w="2040" w:type="dxa"/>
            <w:tcBorders>
              <w:bottom w:val="single" w:sz="4" w:space="0" w:color="auto"/>
            </w:tcBorders>
            <w:shd w:val="pct20" w:color="auto" w:fill="auto"/>
            <w:vAlign w:val="center"/>
          </w:tcPr>
          <w:p w14:paraId="6E73BFC4" w14:textId="07433C32" w:rsidR="00467C8A" w:rsidRPr="00A81D29" w:rsidRDefault="00467C8A" w:rsidP="00467C8A">
            <w:pPr>
              <w:jc w:val="center"/>
              <w:rPr>
                <w:rFonts w:cs="Calibri"/>
                <w:bCs/>
                <w:szCs w:val="22"/>
                <w:lang w:val="en-US"/>
              </w:rPr>
            </w:pPr>
            <w:r w:rsidRPr="00B94745">
              <w:rPr>
                <w:rFonts w:cs="Calibri"/>
                <w:bCs/>
                <w:szCs w:val="22"/>
              </w:rPr>
              <w:t xml:space="preserve">Opción </w:t>
            </w:r>
            <w:r>
              <w:rPr>
                <w:rFonts w:cs="Calibri"/>
                <w:bCs/>
                <w:szCs w:val="22"/>
              </w:rPr>
              <w:t>4</w:t>
            </w:r>
          </w:p>
        </w:tc>
        <w:tc>
          <w:tcPr>
            <w:tcW w:w="2040" w:type="dxa"/>
            <w:tcBorders>
              <w:bottom w:val="single" w:sz="4" w:space="0" w:color="auto"/>
            </w:tcBorders>
            <w:shd w:val="pct20" w:color="auto" w:fill="auto"/>
          </w:tcPr>
          <w:p w14:paraId="6990B225" w14:textId="1C4E87A2" w:rsidR="00467C8A" w:rsidRPr="00A81D29" w:rsidRDefault="00467C8A" w:rsidP="00467C8A">
            <w:pPr>
              <w:jc w:val="center"/>
              <w:rPr>
                <w:rFonts w:cs="Calibri"/>
                <w:szCs w:val="22"/>
                <w:lang w:val="en-US"/>
              </w:rPr>
            </w:pPr>
            <w:r w:rsidRPr="009D4DA9">
              <w:t xml:space="preserve"> 1.266   </w:t>
            </w:r>
          </w:p>
        </w:tc>
        <w:tc>
          <w:tcPr>
            <w:tcW w:w="2040" w:type="dxa"/>
            <w:tcBorders>
              <w:bottom w:val="single" w:sz="4" w:space="0" w:color="auto"/>
            </w:tcBorders>
            <w:shd w:val="pct20" w:color="auto" w:fill="auto"/>
          </w:tcPr>
          <w:p w14:paraId="6F0F1DAA" w14:textId="641C14F9" w:rsidR="00467C8A" w:rsidRPr="00A81D29" w:rsidRDefault="00467C8A" w:rsidP="00467C8A">
            <w:pPr>
              <w:jc w:val="center"/>
              <w:rPr>
                <w:lang w:val="en-US"/>
              </w:rPr>
            </w:pPr>
            <w:r w:rsidRPr="009D4DA9">
              <w:t xml:space="preserve"> 1.266   </w:t>
            </w:r>
          </w:p>
        </w:tc>
        <w:tc>
          <w:tcPr>
            <w:tcW w:w="2040" w:type="dxa"/>
            <w:tcBorders>
              <w:bottom w:val="single" w:sz="4" w:space="0" w:color="auto"/>
            </w:tcBorders>
            <w:shd w:val="pct20" w:color="auto" w:fill="auto"/>
          </w:tcPr>
          <w:p w14:paraId="31F1F600" w14:textId="3498AF04" w:rsidR="00467C8A" w:rsidRPr="00A81D29" w:rsidRDefault="00467C8A" w:rsidP="00467C8A">
            <w:pPr>
              <w:jc w:val="center"/>
              <w:rPr>
                <w:lang w:val="en-US"/>
              </w:rPr>
            </w:pPr>
            <w:r w:rsidRPr="009D4DA9">
              <w:t xml:space="preserve"> 2.084   </w:t>
            </w:r>
          </w:p>
        </w:tc>
        <w:tc>
          <w:tcPr>
            <w:tcW w:w="2041" w:type="dxa"/>
            <w:tcBorders>
              <w:bottom w:val="single" w:sz="4" w:space="0" w:color="auto"/>
            </w:tcBorders>
            <w:shd w:val="pct20" w:color="auto" w:fill="auto"/>
          </w:tcPr>
          <w:p w14:paraId="2A771F90" w14:textId="03B9C194" w:rsidR="00467C8A" w:rsidRPr="00A81D29" w:rsidRDefault="00467C8A" w:rsidP="00467C8A">
            <w:pPr>
              <w:jc w:val="center"/>
              <w:rPr>
                <w:rFonts w:cs="Calibri"/>
                <w:szCs w:val="22"/>
                <w:lang w:val="en-US"/>
              </w:rPr>
            </w:pPr>
            <w:r w:rsidRPr="009D4DA9">
              <w:t xml:space="preserve"> 950   </w:t>
            </w:r>
          </w:p>
        </w:tc>
      </w:tr>
    </w:tbl>
    <w:p w14:paraId="212A416E" w14:textId="77777777" w:rsidR="00607FD4" w:rsidRDefault="00607FD4" w:rsidP="00607FD4">
      <w:pPr>
        <w:pStyle w:val="itinerario"/>
      </w:pPr>
    </w:p>
    <w:p w14:paraId="236043F5" w14:textId="0843F8B3" w:rsidR="007F04A3" w:rsidRDefault="007F04A3" w:rsidP="00607FD4">
      <w:pPr>
        <w:pStyle w:val="vinetas"/>
        <w:jc w:val="both"/>
      </w:pPr>
      <w:r w:rsidRPr="00B15598">
        <w:t>Hoteles previstos o de categoría similar.</w:t>
      </w:r>
    </w:p>
    <w:p w14:paraId="32A8ABC4" w14:textId="56AA9FFF" w:rsidR="00467C8A" w:rsidRPr="00B15598" w:rsidRDefault="00467C8A" w:rsidP="00607FD4">
      <w:pPr>
        <w:pStyle w:val="vinetas"/>
        <w:jc w:val="both"/>
      </w:pPr>
      <w:r>
        <w:t xml:space="preserve">Suplemento por traslados </w:t>
      </w:r>
      <w:r w:rsidRPr="00467C8A">
        <w:t>aeropuerto</w:t>
      </w:r>
      <w:r>
        <w:t xml:space="preserve"> </w:t>
      </w:r>
      <w:r w:rsidRPr="00467C8A">
        <w:t>– hotel – aeropuerto, en servicio privado, con conductor</w:t>
      </w:r>
      <w:r>
        <w:t xml:space="preserve"> y </w:t>
      </w:r>
      <w:r w:rsidRPr="00467C8A">
        <w:t>guía</w:t>
      </w:r>
      <w:r>
        <w:t xml:space="preserve"> de habla hispana, USD 260 por persona.</w:t>
      </w:r>
    </w:p>
    <w:p w14:paraId="2B07AD3F" w14:textId="159AA5C3" w:rsidR="007F04A3" w:rsidRDefault="007F04A3" w:rsidP="00607FD4">
      <w:pPr>
        <w:pStyle w:val="vinetas"/>
        <w:jc w:val="both"/>
      </w:pPr>
      <w:r w:rsidRPr="00B15598">
        <w:t>Precios sujetos a cambio sin previo aviso.</w:t>
      </w:r>
    </w:p>
    <w:p w14:paraId="68D5F8E3" w14:textId="287BAAA3" w:rsidR="00607FD4" w:rsidRDefault="00607FD4" w:rsidP="00607FD4">
      <w:pPr>
        <w:pStyle w:val="vinetas"/>
        <w:jc w:val="both"/>
      </w:pPr>
      <w:r>
        <w:t xml:space="preserve">Tarifas no validas en feriados, durante convenciones que involucre los hoteles indicados o cualquier evento especial y Fórmula Uno. </w:t>
      </w:r>
    </w:p>
    <w:p w14:paraId="381A76B9" w14:textId="77777777" w:rsidR="00607FD4" w:rsidRPr="00607FD4" w:rsidRDefault="00607FD4" w:rsidP="00607FD4">
      <w:pPr>
        <w:pStyle w:val="vinetas"/>
      </w:pPr>
      <w:r w:rsidRPr="00607FD4">
        <w:t>Todos los traslados operados entre las 22:00 y las 08:00 horas están sujetos a un recargo del 50%.</w:t>
      </w:r>
    </w:p>
    <w:p w14:paraId="608E24C6" w14:textId="0A8DDC3B" w:rsidR="007F04A3" w:rsidRDefault="007F04A3" w:rsidP="00607FD4">
      <w:pPr>
        <w:pStyle w:val="vinetas"/>
        <w:jc w:val="both"/>
      </w:pPr>
      <w:r w:rsidRPr="00B15598">
        <w:t>Aplican gastos de cancelación según condiciones generales sin excepción.</w:t>
      </w:r>
    </w:p>
    <w:p w14:paraId="7F468105" w14:textId="77777777" w:rsidR="00A81D29" w:rsidRDefault="00A81D29" w:rsidP="00A81D29">
      <w:pPr>
        <w:pStyle w:val="itinerario"/>
      </w:pPr>
    </w:p>
    <w:p w14:paraId="632B2A52" w14:textId="44C4EC35"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32A31107" w14:textId="77777777" w:rsidR="00166697" w:rsidRDefault="00166697" w:rsidP="00166697">
      <w:pPr>
        <w:pStyle w:val="vinetas"/>
      </w:pPr>
      <w:r>
        <w:t>Niños de 2 a 11 años, se acomodarían en una cama extra (catre) en la habitación de sus padres.</w:t>
      </w:r>
    </w:p>
    <w:p w14:paraId="6B6B15C8" w14:textId="77777777" w:rsidR="00D705C3" w:rsidRDefault="00D705C3" w:rsidP="00D705C3">
      <w:pPr>
        <w:pStyle w:val="vinetas"/>
      </w:pPr>
      <w:r>
        <w:t>Niños a partir de los 12 años, pagan como adultos.</w:t>
      </w:r>
    </w:p>
    <w:p w14:paraId="388017B4" w14:textId="77777777" w:rsidR="00D705C3" w:rsidRDefault="00D705C3" w:rsidP="00D705C3">
      <w:pPr>
        <w:pStyle w:val="vinetas"/>
        <w:numPr>
          <w:ilvl w:val="0"/>
          <w:numId w:val="27"/>
        </w:numPr>
        <w:spacing w:line="240" w:lineRule="auto"/>
        <w:ind w:left="714" w:hanging="357"/>
        <w:jc w:val="both"/>
      </w:pPr>
      <w:r>
        <w:t xml:space="preserve">Máximo un niño por habitación. Otras acomodaciones deberán ser consultadas. </w:t>
      </w:r>
    </w:p>
    <w:p w14:paraId="4D6AF995" w14:textId="77777777" w:rsidR="00D705C3" w:rsidRDefault="00D705C3" w:rsidP="002D6C70">
      <w:pPr>
        <w:pStyle w:val="itinerario"/>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2972"/>
        <w:gridCol w:w="4111"/>
        <w:gridCol w:w="2987"/>
      </w:tblGrid>
      <w:tr w:rsidR="00F67760" w14:paraId="28CA4C92" w14:textId="77777777" w:rsidTr="00FC2322">
        <w:tc>
          <w:tcPr>
            <w:tcW w:w="2972"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4111"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298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FC2322" w14:paraId="588CB080" w14:textId="77777777" w:rsidTr="00FC2322">
        <w:tc>
          <w:tcPr>
            <w:tcW w:w="2972" w:type="dxa"/>
          </w:tcPr>
          <w:p w14:paraId="73E83755" w14:textId="10BE9C12" w:rsidR="00FC2322" w:rsidRDefault="00FC2322" w:rsidP="00FC2322">
            <w:pPr>
              <w:jc w:val="center"/>
            </w:pPr>
            <w:r w:rsidRPr="00282721">
              <w:t>Opción 1</w:t>
            </w:r>
          </w:p>
        </w:tc>
        <w:tc>
          <w:tcPr>
            <w:tcW w:w="4111" w:type="dxa"/>
          </w:tcPr>
          <w:p w14:paraId="2E9F9DDC" w14:textId="153CCC35" w:rsidR="00FC2322" w:rsidRDefault="00FC2322" w:rsidP="00FC2322">
            <w:pPr>
              <w:jc w:val="center"/>
            </w:pPr>
            <w:r w:rsidRPr="008411DF">
              <w:t xml:space="preserve">Península Excélsior </w:t>
            </w:r>
          </w:p>
        </w:tc>
        <w:tc>
          <w:tcPr>
            <w:tcW w:w="2987" w:type="dxa"/>
            <w:vAlign w:val="center"/>
          </w:tcPr>
          <w:p w14:paraId="3C77BCA4" w14:textId="106DB4F2" w:rsidR="00FC2322" w:rsidRDefault="00FC2322" w:rsidP="00FC2322">
            <w:pPr>
              <w:jc w:val="center"/>
            </w:pPr>
            <w:r>
              <w:t>Turista Superior</w:t>
            </w:r>
          </w:p>
        </w:tc>
      </w:tr>
      <w:tr w:rsidR="00FC2322" w:rsidRPr="00FC2322" w14:paraId="0B7EE035" w14:textId="77777777" w:rsidTr="00FC2322">
        <w:tc>
          <w:tcPr>
            <w:tcW w:w="2972" w:type="dxa"/>
          </w:tcPr>
          <w:p w14:paraId="26417DD2" w14:textId="7A8441CC" w:rsidR="00FC2322" w:rsidRDefault="00FC2322" w:rsidP="00FC2322">
            <w:pPr>
              <w:jc w:val="center"/>
            </w:pPr>
            <w:r w:rsidRPr="00282721">
              <w:t>Opción 2</w:t>
            </w:r>
          </w:p>
        </w:tc>
        <w:tc>
          <w:tcPr>
            <w:tcW w:w="4111" w:type="dxa"/>
          </w:tcPr>
          <w:p w14:paraId="39849943" w14:textId="4C38E6B7" w:rsidR="00FC2322" w:rsidRPr="00FC2322" w:rsidRDefault="00FC2322" w:rsidP="00FC2322">
            <w:pPr>
              <w:jc w:val="center"/>
              <w:rPr>
                <w:lang w:val="en-US"/>
              </w:rPr>
            </w:pPr>
            <w:r w:rsidRPr="00FC2322">
              <w:rPr>
                <w:lang w:val="en-US"/>
              </w:rPr>
              <w:t>Paradox Merchant Court at Clarke Quay</w:t>
            </w:r>
          </w:p>
        </w:tc>
        <w:tc>
          <w:tcPr>
            <w:tcW w:w="2987" w:type="dxa"/>
            <w:vAlign w:val="center"/>
          </w:tcPr>
          <w:p w14:paraId="2EF86D1E" w14:textId="3181DF0A" w:rsidR="00FC2322" w:rsidRPr="00FC2322" w:rsidRDefault="00FC2322" w:rsidP="00FC2322">
            <w:pPr>
              <w:jc w:val="center"/>
              <w:rPr>
                <w:lang w:val="en-US"/>
              </w:rPr>
            </w:pPr>
            <w:r>
              <w:rPr>
                <w:lang w:val="en-US"/>
              </w:rPr>
              <w:t>Primera</w:t>
            </w:r>
          </w:p>
        </w:tc>
      </w:tr>
      <w:tr w:rsidR="00FC2322" w:rsidRPr="00FC2322" w14:paraId="5FED9F37" w14:textId="77777777" w:rsidTr="00FC2322">
        <w:tc>
          <w:tcPr>
            <w:tcW w:w="2972" w:type="dxa"/>
          </w:tcPr>
          <w:p w14:paraId="285BFEEF" w14:textId="43A401E2" w:rsidR="00FC2322" w:rsidRDefault="00FC2322" w:rsidP="00FC2322">
            <w:pPr>
              <w:jc w:val="center"/>
            </w:pPr>
            <w:r w:rsidRPr="00282721">
              <w:t>Opción 3</w:t>
            </w:r>
          </w:p>
        </w:tc>
        <w:tc>
          <w:tcPr>
            <w:tcW w:w="4111" w:type="dxa"/>
          </w:tcPr>
          <w:p w14:paraId="6C4FE7E5" w14:textId="3DF7D572" w:rsidR="00FC2322" w:rsidRPr="00FC2322" w:rsidRDefault="00FC2322" w:rsidP="00FC2322">
            <w:pPr>
              <w:jc w:val="center"/>
              <w:rPr>
                <w:lang w:val="en-US"/>
              </w:rPr>
            </w:pPr>
            <w:r w:rsidRPr="00613476">
              <w:t>One Farrer Hotel</w:t>
            </w:r>
          </w:p>
        </w:tc>
        <w:tc>
          <w:tcPr>
            <w:tcW w:w="2987" w:type="dxa"/>
            <w:vAlign w:val="center"/>
          </w:tcPr>
          <w:p w14:paraId="50802A8F" w14:textId="50911E32" w:rsidR="00FC2322" w:rsidRPr="00FC2322" w:rsidRDefault="00FC2322" w:rsidP="00FC2322">
            <w:pPr>
              <w:jc w:val="center"/>
              <w:rPr>
                <w:lang w:val="en-US"/>
              </w:rPr>
            </w:pPr>
            <w:r>
              <w:rPr>
                <w:lang w:val="en-US"/>
              </w:rPr>
              <w:t>Primera Superior</w:t>
            </w:r>
          </w:p>
        </w:tc>
      </w:tr>
      <w:tr w:rsidR="00FC2322" w:rsidRPr="00FC2322" w14:paraId="68F421AF" w14:textId="77777777" w:rsidTr="00FC2322">
        <w:tc>
          <w:tcPr>
            <w:tcW w:w="2972" w:type="dxa"/>
          </w:tcPr>
          <w:p w14:paraId="2EB660DC" w14:textId="05E90DAD" w:rsidR="00FC2322" w:rsidRPr="00FC2322" w:rsidRDefault="00FC2322" w:rsidP="00FC2322">
            <w:pPr>
              <w:jc w:val="center"/>
              <w:rPr>
                <w:lang w:val="en-US"/>
              </w:rPr>
            </w:pPr>
            <w:r w:rsidRPr="00282721">
              <w:t>Opción 4</w:t>
            </w:r>
          </w:p>
        </w:tc>
        <w:tc>
          <w:tcPr>
            <w:tcW w:w="4111" w:type="dxa"/>
          </w:tcPr>
          <w:p w14:paraId="25AE9C09" w14:textId="267F80D8" w:rsidR="00FC2322" w:rsidRPr="00FC1CAB" w:rsidRDefault="00FC2322" w:rsidP="00FC2322">
            <w:pPr>
              <w:jc w:val="center"/>
              <w:rPr>
                <w:lang w:val="en-US"/>
              </w:rPr>
            </w:pPr>
            <w:r w:rsidRPr="00FC2322">
              <w:rPr>
                <w:lang w:val="en-US"/>
              </w:rPr>
              <w:t>Parkroyal Collection Marina Bay Singapore</w:t>
            </w:r>
          </w:p>
        </w:tc>
        <w:tc>
          <w:tcPr>
            <w:tcW w:w="2987" w:type="dxa"/>
            <w:vAlign w:val="center"/>
          </w:tcPr>
          <w:p w14:paraId="36A4BD04" w14:textId="73F03D5B" w:rsidR="00FC2322" w:rsidRPr="00FC2322" w:rsidRDefault="00FC2322" w:rsidP="00FC2322">
            <w:pPr>
              <w:jc w:val="center"/>
              <w:rPr>
                <w:lang w:val="en-US"/>
              </w:rPr>
            </w:pPr>
            <w:r>
              <w:rPr>
                <w:lang w:val="en-US"/>
              </w:rPr>
              <w:t>Primera Superior</w:t>
            </w:r>
          </w:p>
        </w:tc>
      </w:tr>
    </w:tbl>
    <w:p w14:paraId="06E6AB40" w14:textId="77777777" w:rsidR="00FC2322" w:rsidRDefault="00FC2322" w:rsidP="00FC2322">
      <w:pPr>
        <w:pStyle w:val="itinerario"/>
      </w:pPr>
    </w:p>
    <w:p w14:paraId="705CB31F" w14:textId="77777777" w:rsidR="00467C8A" w:rsidRDefault="00467C8A" w:rsidP="003258F7">
      <w:pPr>
        <w:pStyle w:val="dias"/>
        <w:rPr>
          <w:color w:val="1F3864"/>
          <w:sz w:val="28"/>
          <w:szCs w:val="28"/>
        </w:rPr>
      </w:pPr>
    </w:p>
    <w:p w14:paraId="44A1C6CD" w14:textId="77777777" w:rsidR="00467C8A" w:rsidRDefault="00467C8A" w:rsidP="003258F7">
      <w:pPr>
        <w:pStyle w:val="dias"/>
        <w:rPr>
          <w:color w:val="1F3864"/>
          <w:sz w:val="28"/>
          <w:szCs w:val="28"/>
        </w:rPr>
      </w:pPr>
    </w:p>
    <w:p w14:paraId="007A4FD4" w14:textId="77777777" w:rsidR="00467C8A" w:rsidRDefault="00467C8A" w:rsidP="003258F7">
      <w:pPr>
        <w:pStyle w:val="dias"/>
        <w:rPr>
          <w:color w:val="1F3864"/>
          <w:sz w:val="28"/>
          <w:szCs w:val="28"/>
        </w:rPr>
      </w:pPr>
    </w:p>
    <w:p w14:paraId="5D153C9D" w14:textId="0D549239" w:rsidR="003258F7" w:rsidRPr="005D73CE" w:rsidRDefault="003258F7" w:rsidP="003258F7">
      <w:pPr>
        <w:pStyle w:val="dias"/>
        <w:rPr>
          <w:color w:val="1F3864"/>
          <w:sz w:val="28"/>
          <w:szCs w:val="28"/>
        </w:rPr>
      </w:pPr>
      <w:r w:rsidRPr="005D73CE">
        <w:rPr>
          <w:color w:val="1F3864"/>
          <w:sz w:val="28"/>
          <w:szCs w:val="28"/>
        </w:rPr>
        <w:t>VISITAS OPCIONALES POR PERSONA</w:t>
      </w:r>
      <w:r>
        <w:rPr>
          <w:color w:val="1F3864"/>
          <w:sz w:val="28"/>
          <w:szCs w:val="28"/>
        </w:rPr>
        <w:t xml:space="preserve"> EN usd (MÍNIMO 2 PERSONAS)</w:t>
      </w:r>
    </w:p>
    <w:p w14:paraId="12C32981" w14:textId="77777777" w:rsidR="003258F7" w:rsidRPr="00554B1E" w:rsidRDefault="003258F7" w:rsidP="0055725D">
      <w:pPr>
        <w:pStyle w:val="itinerario"/>
      </w:pPr>
    </w:p>
    <w:tbl>
      <w:tblPr>
        <w:tblStyle w:val="Tablaconcuadrcula"/>
        <w:tblW w:w="0" w:type="auto"/>
        <w:tblLook w:val="04A0" w:firstRow="1" w:lastRow="0" w:firstColumn="1" w:lastColumn="0" w:noHBand="0" w:noVBand="1"/>
      </w:tblPr>
      <w:tblGrid>
        <w:gridCol w:w="3114"/>
        <w:gridCol w:w="5860"/>
        <w:gridCol w:w="1096"/>
      </w:tblGrid>
      <w:tr w:rsidR="00A81D29" w:rsidRPr="00554B1E" w14:paraId="5A7435F7" w14:textId="77777777" w:rsidTr="00A81D29">
        <w:tc>
          <w:tcPr>
            <w:tcW w:w="3114" w:type="dxa"/>
            <w:shd w:val="pct20" w:color="auto" w:fill="1F3864"/>
            <w:vAlign w:val="center"/>
          </w:tcPr>
          <w:p w14:paraId="21F38BAC" w14:textId="77777777" w:rsidR="00A81D29" w:rsidRPr="009E4D64" w:rsidRDefault="00A81D29" w:rsidP="00556FD5">
            <w:pPr>
              <w:jc w:val="center"/>
              <w:rPr>
                <w:b/>
                <w:color w:val="FFFFFF" w:themeColor="background1"/>
                <w:sz w:val="28"/>
                <w:szCs w:val="28"/>
              </w:rPr>
            </w:pPr>
            <w:r w:rsidRPr="009E4D64">
              <w:rPr>
                <w:b/>
                <w:color w:val="FFFFFF" w:themeColor="background1"/>
                <w:sz w:val="28"/>
                <w:szCs w:val="28"/>
              </w:rPr>
              <w:t>Visita</w:t>
            </w:r>
          </w:p>
        </w:tc>
        <w:tc>
          <w:tcPr>
            <w:tcW w:w="5860" w:type="dxa"/>
            <w:shd w:val="pct20" w:color="auto" w:fill="1F3864"/>
          </w:tcPr>
          <w:p w14:paraId="77C728FE" w14:textId="6600FF0D" w:rsidR="00A81D29" w:rsidRPr="009E4D64" w:rsidRDefault="00A81D29" w:rsidP="00556FD5">
            <w:pPr>
              <w:jc w:val="center"/>
              <w:rPr>
                <w:b/>
                <w:color w:val="FFFFFF" w:themeColor="background1"/>
                <w:sz w:val="28"/>
                <w:szCs w:val="28"/>
              </w:rPr>
            </w:pPr>
            <w:r>
              <w:rPr>
                <w:b/>
                <w:color w:val="FFFFFF" w:themeColor="background1"/>
                <w:sz w:val="28"/>
                <w:szCs w:val="28"/>
              </w:rPr>
              <w:t>Observaciones</w:t>
            </w:r>
          </w:p>
        </w:tc>
        <w:tc>
          <w:tcPr>
            <w:tcW w:w="1096" w:type="dxa"/>
            <w:shd w:val="pct20" w:color="auto" w:fill="1F3864"/>
            <w:vAlign w:val="center"/>
          </w:tcPr>
          <w:p w14:paraId="174202DA" w14:textId="6803E077" w:rsidR="00A81D29" w:rsidRPr="009E4D64" w:rsidRDefault="00A81D29" w:rsidP="00556FD5">
            <w:pPr>
              <w:jc w:val="center"/>
              <w:rPr>
                <w:b/>
                <w:color w:val="FFFFFF" w:themeColor="background1"/>
                <w:sz w:val="28"/>
                <w:szCs w:val="28"/>
              </w:rPr>
            </w:pPr>
            <w:r w:rsidRPr="009E4D64">
              <w:rPr>
                <w:b/>
                <w:color w:val="FFFFFF" w:themeColor="background1"/>
                <w:sz w:val="28"/>
                <w:szCs w:val="28"/>
              </w:rPr>
              <w:t>Valor</w:t>
            </w:r>
          </w:p>
        </w:tc>
      </w:tr>
      <w:tr w:rsidR="00A81D29" w:rsidRPr="00554B1E" w14:paraId="062CD74D" w14:textId="77777777" w:rsidTr="00A81D29">
        <w:tc>
          <w:tcPr>
            <w:tcW w:w="3114" w:type="dxa"/>
            <w:vAlign w:val="center"/>
          </w:tcPr>
          <w:p w14:paraId="4A313F9F" w14:textId="76859508" w:rsidR="00A81D29" w:rsidRPr="00574786" w:rsidRDefault="00A81D29" w:rsidP="00C01CA3">
            <w:pPr>
              <w:jc w:val="center"/>
            </w:pPr>
            <w:r w:rsidRPr="00A81D29">
              <w:t>Singapore River Bumboat Ride</w:t>
            </w:r>
          </w:p>
        </w:tc>
        <w:tc>
          <w:tcPr>
            <w:tcW w:w="5860" w:type="dxa"/>
          </w:tcPr>
          <w:p w14:paraId="7AD8CA2C" w14:textId="4B836386" w:rsidR="00A81D29" w:rsidRDefault="00A81D29" w:rsidP="00C01CA3">
            <w:pPr>
              <w:jc w:val="center"/>
              <w:rPr>
                <w:rFonts w:cs="Arial"/>
              </w:rPr>
            </w:pPr>
            <w:r w:rsidRPr="00A81D29">
              <w:rPr>
                <w:rFonts w:cs="Arial"/>
              </w:rPr>
              <w:t xml:space="preserve">Incluye traslado privado </w:t>
            </w:r>
            <w:r>
              <w:rPr>
                <w:rFonts w:cs="Arial"/>
              </w:rPr>
              <w:t>R/T</w:t>
            </w:r>
            <w:r w:rsidRPr="00A81D29">
              <w:rPr>
                <w:rFonts w:cs="Arial"/>
              </w:rPr>
              <w:t>, bumboat con guía de habla hispana</w:t>
            </w:r>
          </w:p>
        </w:tc>
        <w:tc>
          <w:tcPr>
            <w:tcW w:w="1096" w:type="dxa"/>
            <w:vAlign w:val="center"/>
          </w:tcPr>
          <w:p w14:paraId="5E628FA0" w14:textId="2E7C8A77" w:rsidR="00A81D29" w:rsidRDefault="00A81D29" w:rsidP="00C01CA3">
            <w:pPr>
              <w:jc w:val="center"/>
              <w:rPr>
                <w:rFonts w:cs="Arial"/>
              </w:rPr>
            </w:pPr>
            <w:r>
              <w:rPr>
                <w:rFonts w:cs="Arial"/>
              </w:rPr>
              <w:t>350</w:t>
            </w:r>
          </w:p>
        </w:tc>
      </w:tr>
    </w:tbl>
    <w:p w14:paraId="688DCE8B" w14:textId="77777777" w:rsidR="003258F7" w:rsidRDefault="003258F7" w:rsidP="003258F7">
      <w:pPr>
        <w:pStyle w:val="itinerario"/>
      </w:pPr>
    </w:p>
    <w:p w14:paraId="23399EC9" w14:textId="6F55378D" w:rsidR="003258F7" w:rsidRDefault="003258F7" w:rsidP="003258F7">
      <w:pPr>
        <w:pStyle w:val="vinetas"/>
        <w:jc w:val="both"/>
      </w:pPr>
      <w:r w:rsidRPr="00952BD5">
        <w:t xml:space="preserve">El valor de las visitas y excursiones es orientativo, sujeto a cambios sin previo aviso. </w:t>
      </w:r>
    </w:p>
    <w:p w14:paraId="33411DA0" w14:textId="641A5CD0" w:rsidR="00467C8A" w:rsidRDefault="00467C8A" w:rsidP="00467C8A">
      <w:pPr>
        <w:pStyle w:val="itinerario"/>
      </w:pPr>
    </w:p>
    <w:p w14:paraId="626781A9" w14:textId="37E61207" w:rsidR="00467C8A" w:rsidRDefault="00467C8A" w:rsidP="00467C8A">
      <w:pPr>
        <w:pStyle w:val="itinerario"/>
      </w:pPr>
    </w:p>
    <w:p w14:paraId="104E6406" w14:textId="77777777" w:rsidR="00467C8A" w:rsidRPr="00952BD5" w:rsidRDefault="00467C8A" w:rsidP="00467C8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3C1EE3DC" w14:textId="77777777" w:rsidR="00467C8A" w:rsidRDefault="00467C8A" w:rsidP="007F04A3">
      <w:pPr>
        <w:pStyle w:val="dias"/>
        <w:rPr>
          <w:caps w:val="0"/>
          <w:color w:val="1F3864"/>
          <w:sz w:val="28"/>
          <w:szCs w:val="28"/>
        </w:rPr>
      </w:pPr>
    </w:p>
    <w:p w14:paraId="613EE580" w14:textId="2A5FE69D"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Default="0001754F" w:rsidP="007F04A3">
      <w:pPr>
        <w:pStyle w:val="vinetas"/>
        <w:spacing w:line="240" w:lineRule="auto"/>
        <w:jc w:val="both"/>
      </w:pPr>
      <w:r>
        <w:t>Documento de identidad.</w:t>
      </w:r>
    </w:p>
    <w:p w14:paraId="53E3EE1D" w14:textId="31F5C72C" w:rsidR="00537619" w:rsidRPr="0046188B" w:rsidRDefault="00537619" w:rsidP="007F04A3">
      <w:pPr>
        <w:pStyle w:val="vinetas"/>
        <w:spacing w:line="240" w:lineRule="auto"/>
        <w:jc w:val="both"/>
      </w:pPr>
      <w:r w:rsidRPr="0046188B">
        <w:t>Certificado internacional de la vacuna contra la fiebre amarilla.</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3856B974" w14:textId="77777777" w:rsidR="00D27ECA" w:rsidRPr="00537619" w:rsidRDefault="00D27ECA" w:rsidP="00D27ECA">
      <w:pPr>
        <w:pStyle w:val="dias"/>
        <w:rPr>
          <w:color w:val="1F3864"/>
          <w:sz w:val="28"/>
          <w:szCs w:val="28"/>
        </w:rPr>
      </w:pPr>
      <w:r w:rsidRPr="00537619">
        <w:rPr>
          <w:color w:val="1F3864"/>
          <w:sz w:val="28"/>
          <w:szCs w:val="28"/>
        </w:rPr>
        <w:t>POLÍTICA DE PAGOS</w:t>
      </w:r>
    </w:p>
    <w:p w14:paraId="72155A80" w14:textId="77777777" w:rsidR="00D27ECA" w:rsidRDefault="00D27ECA" w:rsidP="00D27ECA">
      <w:pPr>
        <w:pStyle w:val="vinetas"/>
        <w:numPr>
          <w:ilvl w:val="0"/>
          <w:numId w:val="0"/>
        </w:numPr>
      </w:pPr>
      <w:r>
        <w:t>Todos los servicios deben ser prepagados con 40 días de anticipación a la llegada de los pasajeros.</w:t>
      </w:r>
    </w:p>
    <w:p w14:paraId="383DD11E" w14:textId="77777777" w:rsidR="00D27ECA" w:rsidRDefault="00D27ECA" w:rsidP="00D27ECA">
      <w:pPr>
        <w:pStyle w:val="vinetas"/>
        <w:numPr>
          <w:ilvl w:val="0"/>
          <w:numId w:val="0"/>
        </w:numPr>
        <w:jc w:val="both"/>
        <w:rPr>
          <w:caps/>
        </w:rPr>
      </w:pPr>
      <w:r>
        <w:t>C</w:t>
      </w:r>
      <w:r w:rsidRPr="00880436">
        <w:t xml:space="preserve">ierre de ventas </w:t>
      </w:r>
      <w:r>
        <w:t xml:space="preserve">20 días </w:t>
      </w:r>
      <w:r w:rsidRPr="00880436">
        <w:t>antes de la fecha del comienzo del viaje</w:t>
      </w:r>
      <w:r>
        <w:t>.</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30386316" w:rsidR="0084141F" w:rsidRDefault="0084141F" w:rsidP="0001754F">
      <w:pPr>
        <w:pStyle w:val="vinetas"/>
        <w:jc w:val="both"/>
      </w:pPr>
      <w:r>
        <w:t xml:space="preserve">Cancelaciones recibidas </w:t>
      </w:r>
      <w:r w:rsidR="00B64B3D">
        <w:t>40</w:t>
      </w:r>
      <w:r>
        <w:t xml:space="preserve"> días antes del inicio de los servicios, </w:t>
      </w:r>
      <w:r w:rsidR="00863D0F">
        <w:t>no tienen cargo.</w:t>
      </w:r>
      <w:r>
        <w:t xml:space="preserve"> </w:t>
      </w:r>
    </w:p>
    <w:p w14:paraId="5503CC5E" w14:textId="1C398939" w:rsidR="0001754F" w:rsidRDefault="0001754F" w:rsidP="0001754F">
      <w:pPr>
        <w:pStyle w:val="vinetas"/>
        <w:jc w:val="both"/>
      </w:pPr>
      <w:r>
        <w:t xml:space="preserve">Cancelaciones recibidas </w:t>
      </w:r>
      <w:r w:rsidR="00863D0F">
        <w:t xml:space="preserve">entre </w:t>
      </w:r>
      <w:r w:rsidR="00B64B3D">
        <w:t>39</w:t>
      </w:r>
      <w:r>
        <w:t xml:space="preserve"> </w:t>
      </w:r>
      <w:r w:rsidR="00863D0F">
        <w:t xml:space="preserve">y </w:t>
      </w:r>
      <w:r w:rsidR="00B64B3D">
        <w:t>2</w:t>
      </w:r>
      <w:r w:rsidR="00863D0F">
        <w:t xml:space="preserve">9 </w:t>
      </w:r>
      <w:r>
        <w:t xml:space="preserve">días antes del inicio de los servicios tiene un cargo del </w:t>
      </w:r>
      <w:r w:rsidR="00B64B3D">
        <w:t>4</w:t>
      </w:r>
      <w:r>
        <w:t>0% del valor del circuito.</w:t>
      </w:r>
    </w:p>
    <w:p w14:paraId="0DC40CF7" w14:textId="73961615" w:rsidR="0001754F" w:rsidRDefault="0001754F" w:rsidP="0001754F">
      <w:pPr>
        <w:pStyle w:val="vinetas"/>
        <w:jc w:val="both"/>
      </w:pPr>
      <w:r>
        <w:t xml:space="preserve">Cancelaciones recibidas </w:t>
      </w:r>
      <w:r w:rsidR="00863D0F">
        <w:t xml:space="preserve">entre </w:t>
      </w:r>
      <w:r w:rsidR="00B64B3D">
        <w:t>2</w:t>
      </w:r>
      <w:r w:rsidR="00863D0F">
        <w:t>8</w:t>
      </w:r>
      <w:r>
        <w:t xml:space="preserve"> </w:t>
      </w:r>
      <w:r w:rsidR="00863D0F">
        <w:t>y 1</w:t>
      </w:r>
      <w:r w:rsidR="00B64B3D">
        <w:t>5</w:t>
      </w:r>
      <w:r w:rsidR="00863D0F">
        <w:t xml:space="preserve"> </w:t>
      </w:r>
      <w:r>
        <w:t xml:space="preserve">días antes del inicio de los servicios tiene un cargo del </w:t>
      </w:r>
      <w:r w:rsidR="00863D0F">
        <w:t>60</w:t>
      </w:r>
      <w:r>
        <w:t>% del valor del circuito.</w:t>
      </w:r>
    </w:p>
    <w:p w14:paraId="4F556BD9" w14:textId="37493912" w:rsidR="00B64B3D" w:rsidRDefault="00B64B3D" w:rsidP="00B64B3D">
      <w:pPr>
        <w:pStyle w:val="vinetas"/>
        <w:jc w:val="both"/>
      </w:pPr>
      <w:r>
        <w:t>Cancelaciones recibidas entre 14 y 10 días antes del inicio de los servicios tiene un cargo del 85% del valor del circuito.</w:t>
      </w:r>
    </w:p>
    <w:p w14:paraId="034107D2" w14:textId="3A1F5A50" w:rsidR="00863D0F" w:rsidRDefault="00863D0F" w:rsidP="00863D0F">
      <w:pPr>
        <w:pStyle w:val="vinetas"/>
        <w:jc w:val="both"/>
      </w:pPr>
      <w:r>
        <w:t xml:space="preserve">Cancelaciones recibidas </w:t>
      </w:r>
      <w:r w:rsidR="00B64B3D">
        <w:t>9</w:t>
      </w:r>
      <w:r>
        <w:t xml:space="preserve"> días antes del inicio de los servicios tiene un cargo del 100% del valor del circuito.</w:t>
      </w:r>
    </w:p>
    <w:p w14:paraId="4B08DD14" w14:textId="454056DB"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72AACD3" w14:textId="77777777" w:rsidR="00467C8A" w:rsidRDefault="00467C8A" w:rsidP="007F04A3">
      <w:pPr>
        <w:pStyle w:val="dias"/>
        <w:rPr>
          <w:caps w:val="0"/>
          <w:color w:val="1F3864"/>
          <w:sz w:val="28"/>
          <w:szCs w:val="28"/>
        </w:rPr>
      </w:pPr>
    </w:p>
    <w:p w14:paraId="5F74B362" w14:textId="08184C10"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2166A486" w:rsidR="0001754F" w:rsidRDefault="0001754F" w:rsidP="0001754F">
      <w:pPr>
        <w:pStyle w:val="itinerario"/>
      </w:pPr>
      <w:r>
        <w:t>Estos pueden realizarse en taxi, minibús, autocar o cualquier otro tipo de transporte. Los precios de los traslados están basados en SERVICIO</w:t>
      </w:r>
      <w:r w:rsidR="00607FD4">
        <w:t xml:space="preserve"> PRIVADO</w:t>
      </w:r>
      <w:r w:rsidR="00E469AF">
        <w:t xml:space="preserv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E0E45A7"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555C855" w14:textId="77777777" w:rsidR="00467C8A" w:rsidRDefault="00467C8A" w:rsidP="009F02FB">
      <w:pPr>
        <w:spacing w:before="240" w:after="0" w:line="120" w:lineRule="atLeast"/>
        <w:rPr>
          <w:rFonts w:cs="Calibri"/>
          <w:b/>
          <w:bCs/>
          <w:color w:val="1F3864"/>
          <w:sz w:val="28"/>
          <w:szCs w:val="28"/>
        </w:rPr>
      </w:pPr>
      <w:bookmarkStart w:id="4" w:name="_Hlk164682498"/>
    </w:p>
    <w:p w14:paraId="1A64056B" w14:textId="77777777" w:rsidR="00467C8A" w:rsidRDefault="00467C8A" w:rsidP="009F02FB">
      <w:pPr>
        <w:spacing w:before="240" w:after="0" w:line="120" w:lineRule="atLeast"/>
        <w:rPr>
          <w:rFonts w:cs="Calibri"/>
          <w:b/>
          <w:bCs/>
          <w:color w:val="1F3864"/>
          <w:sz w:val="28"/>
          <w:szCs w:val="28"/>
        </w:rPr>
      </w:pPr>
    </w:p>
    <w:p w14:paraId="05940B06" w14:textId="77777777" w:rsidR="00467C8A" w:rsidRDefault="00467C8A" w:rsidP="009F02FB">
      <w:pPr>
        <w:spacing w:before="240" w:after="0" w:line="120" w:lineRule="atLeast"/>
        <w:rPr>
          <w:rFonts w:cs="Calibri"/>
          <w:b/>
          <w:bCs/>
          <w:color w:val="1F3864"/>
          <w:sz w:val="28"/>
          <w:szCs w:val="28"/>
        </w:rPr>
      </w:pPr>
    </w:p>
    <w:p w14:paraId="0BE6251D" w14:textId="0A309A17" w:rsidR="009F02FB" w:rsidRPr="00ED4653" w:rsidRDefault="009F02FB" w:rsidP="009F02FB">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172A8B1A" w14:textId="77777777" w:rsidR="009F02FB" w:rsidRPr="00ED4653" w:rsidRDefault="009F02FB" w:rsidP="009F02FB">
      <w:pPr>
        <w:spacing w:before="0" w:after="0"/>
        <w:jc w:val="both"/>
        <w:rPr>
          <w:rFonts w:cs="Calibri"/>
          <w:szCs w:val="22"/>
        </w:rPr>
      </w:pPr>
      <w:r w:rsidRPr="00ED4653">
        <w:rPr>
          <w:rFonts w:cs="Calibri"/>
          <w:szCs w:val="22"/>
        </w:rPr>
        <w:t>El registro de llegada o Check in del hotel inicia a las 1</w:t>
      </w:r>
      <w:r>
        <w:rPr>
          <w:rFonts w:cs="Calibri"/>
          <w:szCs w:val="22"/>
        </w:rPr>
        <w:t>4</w:t>
      </w:r>
      <w:r w:rsidRPr="00ED4653">
        <w:rPr>
          <w:rFonts w:cs="Calibri"/>
          <w:szCs w:val="22"/>
        </w:rPr>
        <w:t xml:space="preserve"> horas (</w:t>
      </w:r>
      <w:r>
        <w:rPr>
          <w:rFonts w:cs="Calibri"/>
          <w:szCs w:val="22"/>
        </w:rPr>
        <w:t>2</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271573" w14:textId="77777777" w:rsidR="009F02FB" w:rsidRPr="00ED4653" w:rsidRDefault="009F02FB" w:rsidP="009F02FB">
      <w:pPr>
        <w:spacing w:before="0" w:after="0"/>
        <w:jc w:val="both"/>
        <w:rPr>
          <w:rFonts w:cs="Calibri"/>
          <w:szCs w:val="22"/>
        </w:rPr>
      </w:pPr>
    </w:p>
    <w:p w14:paraId="346EAEAD" w14:textId="77777777" w:rsidR="009F02FB" w:rsidRPr="00ED4653" w:rsidRDefault="009F02FB" w:rsidP="009F02FB">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internacionalmente es </w:t>
      </w:r>
      <w:r>
        <w:rPr>
          <w:rFonts w:cs="Calibri"/>
          <w:szCs w:val="22"/>
        </w:rPr>
        <w:t>entre las 11 y las</w:t>
      </w:r>
      <w:r w:rsidRPr="00ED4653">
        <w:rPr>
          <w:rFonts w:cs="Calibri"/>
          <w:szCs w:val="22"/>
        </w:rPr>
        <w:t xml:space="preserve">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4"/>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B16EE27"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33829A7F" w14:textId="77777777" w:rsidR="00467C8A" w:rsidRDefault="00467C8A" w:rsidP="007F04A3">
      <w:pPr>
        <w:pStyle w:val="dias"/>
        <w:rPr>
          <w:caps w:val="0"/>
          <w:color w:val="1F3864"/>
          <w:sz w:val="28"/>
          <w:szCs w:val="28"/>
        </w:rPr>
      </w:pPr>
    </w:p>
    <w:p w14:paraId="48345A05" w14:textId="11458817"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0A2FD9" w:rsidP="007F04A3">
      <w:pPr>
        <w:pStyle w:val="vinetas"/>
      </w:pPr>
      <w:hyperlink r:id="rId9" w:history="1">
        <w:r w:rsidR="007F04A3" w:rsidRPr="000E435B">
          <w:rPr>
            <w:rStyle w:val="Hipervnculo"/>
          </w:rPr>
          <w:t>asesor1@allreps.com</w:t>
        </w:r>
      </w:hyperlink>
    </w:p>
    <w:p w14:paraId="741F9EB6" w14:textId="77777777" w:rsidR="007F04A3" w:rsidRPr="005C30B1" w:rsidRDefault="000A2FD9" w:rsidP="007F04A3">
      <w:pPr>
        <w:pStyle w:val="vinetas"/>
        <w:rPr>
          <w:rStyle w:val="Hipervnculo"/>
          <w:color w:val="000000" w:themeColor="text1"/>
          <w:u w:val="none"/>
        </w:rPr>
      </w:pPr>
      <w:hyperlink r:id="rId10"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2E1373E"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6C90" w14:textId="77777777" w:rsidR="000A2FD9" w:rsidRDefault="000A2FD9" w:rsidP="00AC7E3C">
      <w:pPr>
        <w:spacing w:after="0" w:line="240" w:lineRule="auto"/>
      </w:pPr>
      <w:r>
        <w:separator/>
      </w:r>
    </w:p>
  </w:endnote>
  <w:endnote w:type="continuationSeparator" w:id="0">
    <w:p w14:paraId="6E3BC4ED" w14:textId="77777777" w:rsidR="000A2FD9" w:rsidRDefault="000A2FD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155F" w14:textId="77777777" w:rsidR="000A2FD9" w:rsidRDefault="000A2FD9" w:rsidP="00AC7E3C">
      <w:pPr>
        <w:spacing w:after="0" w:line="240" w:lineRule="auto"/>
      </w:pPr>
      <w:r>
        <w:separator/>
      </w:r>
    </w:p>
  </w:footnote>
  <w:footnote w:type="continuationSeparator" w:id="0">
    <w:p w14:paraId="60186D2C" w14:textId="77777777" w:rsidR="000A2FD9" w:rsidRDefault="000A2FD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7AA6959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2FD9"/>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0F76F6"/>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6697"/>
    <w:rsid w:val="00167684"/>
    <w:rsid w:val="00170ABC"/>
    <w:rsid w:val="001730D1"/>
    <w:rsid w:val="0017476B"/>
    <w:rsid w:val="00181B60"/>
    <w:rsid w:val="00186027"/>
    <w:rsid w:val="00190C94"/>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C2554"/>
    <w:rsid w:val="002D6C70"/>
    <w:rsid w:val="002F29A3"/>
    <w:rsid w:val="00303A48"/>
    <w:rsid w:val="003069AE"/>
    <w:rsid w:val="00317602"/>
    <w:rsid w:val="00317DE1"/>
    <w:rsid w:val="00320992"/>
    <w:rsid w:val="00321152"/>
    <w:rsid w:val="003231B5"/>
    <w:rsid w:val="003258F7"/>
    <w:rsid w:val="00327E66"/>
    <w:rsid w:val="003318BD"/>
    <w:rsid w:val="0033218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188B"/>
    <w:rsid w:val="004625E0"/>
    <w:rsid w:val="004676B3"/>
    <w:rsid w:val="00467C8A"/>
    <w:rsid w:val="004736BE"/>
    <w:rsid w:val="00476065"/>
    <w:rsid w:val="00480EE7"/>
    <w:rsid w:val="00484F5F"/>
    <w:rsid w:val="004A1B6B"/>
    <w:rsid w:val="004A758F"/>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619"/>
    <w:rsid w:val="00537A1A"/>
    <w:rsid w:val="00544C98"/>
    <w:rsid w:val="0055530C"/>
    <w:rsid w:val="00556CB9"/>
    <w:rsid w:val="0055725D"/>
    <w:rsid w:val="0055744B"/>
    <w:rsid w:val="00560AB8"/>
    <w:rsid w:val="00560BB4"/>
    <w:rsid w:val="00565268"/>
    <w:rsid w:val="0057304D"/>
    <w:rsid w:val="00575080"/>
    <w:rsid w:val="00575BD1"/>
    <w:rsid w:val="005811EC"/>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07FD4"/>
    <w:rsid w:val="0062100C"/>
    <w:rsid w:val="00627D17"/>
    <w:rsid w:val="00634F91"/>
    <w:rsid w:val="00640D01"/>
    <w:rsid w:val="00643251"/>
    <w:rsid w:val="006518DF"/>
    <w:rsid w:val="00652170"/>
    <w:rsid w:val="006543BD"/>
    <w:rsid w:val="00655068"/>
    <w:rsid w:val="00660740"/>
    <w:rsid w:val="00663EA8"/>
    <w:rsid w:val="006678E2"/>
    <w:rsid w:val="00670641"/>
    <w:rsid w:val="00675C90"/>
    <w:rsid w:val="006775B0"/>
    <w:rsid w:val="00681834"/>
    <w:rsid w:val="00681FBE"/>
    <w:rsid w:val="0069077B"/>
    <w:rsid w:val="00696708"/>
    <w:rsid w:val="006A28FB"/>
    <w:rsid w:val="006A65FA"/>
    <w:rsid w:val="006A7217"/>
    <w:rsid w:val="006C3BEF"/>
    <w:rsid w:val="006C4CE7"/>
    <w:rsid w:val="006C4D7B"/>
    <w:rsid w:val="006E0961"/>
    <w:rsid w:val="006E4287"/>
    <w:rsid w:val="00701DA3"/>
    <w:rsid w:val="007047B4"/>
    <w:rsid w:val="007101B0"/>
    <w:rsid w:val="00711538"/>
    <w:rsid w:val="0071236A"/>
    <w:rsid w:val="0071280B"/>
    <w:rsid w:val="00721DC8"/>
    <w:rsid w:val="00727AA2"/>
    <w:rsid w:val="00741E6C"/>
    <w:rsid w:val="00745160"/>
    <w:rsid w:val="00757246"/>
    <w:rsid w:val="007727B1"/>
    <w:rsid w:val="007772BC"/>
    <w:rsid w:val="00781FA8"/>
    <w:rsid w:val="007924FC"/>
    <w:rsid w:val="007971F4"/>
    <w:rsid w:val="007A3C0B"/>
    <w:rsid w:val="007A3C36"/>
    <w:rsid w:val="007A5D41"/>
    <w:rsid w:val="007B014F"/>
    <w:rsid w:val="007C4FBE"/>
    <w:rsid w:val="007D6208"/>
    <w:rsid w:val="007E203B"/>
    <w:rsid w:val="007E485C"/>
    <w:rsid w:val="007E51DE"/>
    <w:rsid w:val="007F04A3"/>
    <w:rsid w:val="007F3606"/>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1DB"/>
    <w:rsid w:val="00975744"/>
    <w:rsid w:val="009A2558"/>
    <w:rsid w:val="009A2F1F"/>
    <w:rsid w:val="009A5F48"/>
    <w:rsid w:val="009B2895"/>
    <w:rsid w:val="009B5309"/>
    <w:rsid w:val="009D035C"/>
    <w:rsid w:val="009D375D"/>
    <w:rsid w:val="009D409F"/>
    <w:rsid w:val="009D7215"/>
    <w:rsid w:val="009E2C71"/>
    <w:rsid w:val="009E694E"/>
    <w:rsid w:val="009F02FB"/>
    <w:rsid w:val="009F636C"/>
    <w:rsid w:val="00A02AA1"/>
    <w:rsid w:val="00A03793"/>
    <w:rsid w:val="00A04CFC"/>
    <w:rsid w:val="00A0512E"/>
    <w:rsid w:val="00A06FDE"/>
    <w:rsid w:val="00A121CC"/>
    <w:rsid w:val="00A12A88"/>
    <w:rsid w:val="00A27E45"/>
    <w:rsid w:val="00A3479E"/>
    <w:rsid w:val="00A34AD4"/>
    <w:rsid w:val="00A372F2"/>
    <w:rsid w:val="00A40DAE"/>
    <w:rsid w:val="00A50FA3"/>
    <w:rsid w:val="00A52F2D"/>
    <w:rsid w:val="00A76B36"/>
    <w:rsid w:val="00A81D29"/>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0E65"/>
    <w:rsid w:val="00B229DE"/>
    <w:rsid w:val="00B24986"/>
    <w:rsid w:val="00B2759D"/>
    <w:rsid w:val="00B421F0"/>
    <w:rsid w:val="00B560F2"/>
    <w:rsid w:val="00B61875"/>
    <w:rsid w:val="00B62773"/>
    <w:rsid w:val="00B64B3D"/>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01CA3"/>
    <w:rsid w:val="00C11A06"/>
    <w:rsid w:val="00C14C10"/>
    <w:rsid w:val="00C153DB"/>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27ECA"/>
    <w:rsid w:val="00D3047B"/>
    <w:rsid w:val="00D36117"/>
    <w:rsid w:val="00D45F5D"/>
    <w:rsid w:val="00D5037D"/>
    <w:rsid w:val="00D51E27"/>
    <w:rsid w:val="00D541FE"/>
    <w:rsid w:val="00D55892"/>
    <w:rsid w:val="00D563D7"/>
    <w:rsid w:val="00D60833"/>
    <w:rsid w:val="00D60B41"/>
    <w:rsid w:val="00D67ED1"/>
    <w:rsid w:val="00D705C3"/>
    <w:rsid w:val="00D7281D"/>
    <w:rsid w:val="00D72F72"/>
    <w:rsid w:val="00D842DF"/>
    <w:rsid w:val="00D90CF4"/>
    <w:rsid w:val="00D959FC"/>
    <w:rsid w:val="00D95F12"/>
    <w:rsid w:val="00DA6554"/>
    <w:rsid w:val="00DB08AE"/>
    <w:rsid w:val="00DB173C"/>
    <w:rsid w:val="00DB5F69"/>
    <w:rsid w:val="00DB6314"/>
    <w:rsid w:val="00DB7966"/>
    <w:rsid w:val="00DC7884"/>
    <w:rsid w:val="00DD1955"/>
    <w:rsid w:val="00DD2FF0"/>
    <w:rsid w:val="00DD2FFA"/>
    <w:rsid w:val="00DD36FC"/>
    <w:rsid w:val="00DD5FC4"/>
    <w:rsid w:val="00DE33BC"/>
    <w:rsid w:val="00DE58FE"/>
    <w:rsid w:val="00DE73F7"/>
    <w:rsid w:val="00E02402"/>
    <w:rsid w:val="00E0454C"/>
    <w:rsid w:val="00E05075"/>
    <w:rsid w:val="00E11DC8"/>
    <w:rsid w:val="00E17876"/>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5D01"/>
    <w:rsid w:val="00F76F0D"/>
    <w:rsid w:val="00F87071"/>
    <w:rsid w:val="00F8733C"/>
    <w:rsid w:val="00FA0106"/>
    <w:rsid w:val="00FA5D72"/>
    <w:rsid w:val="00FA7479"/>
    <w:rsid w:val="00FB0C61"/>
    <w:rsid w:val="00FB361F"/>
    <w:rsid w:val="00FB45F2"/>
    <w:rsid w:val="00FC1CAB"/>
    <w:rsid w:val="00FC2322"/>
    <w:rsid w:val="00FC6393"/>
    <w:rsid w:val="00FD0542"/>
    <w:rsid w:val="00FD1272"/>
    <w:rsid w:val="00FD28C2"/>
    <w:rsid w:val="00FD2FB7"/>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258758579">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5800</Words>
  <Characters>31905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2024-06-04T17:30:00Z</dcterms:created>
  <dcterms:modified xsi:type="dcterms:W3CDTF">2024-06-04T17:30:00Z</dcterms:modified>
</cp:coreProperties>
</file>